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A077">
      <w:pPr>
        <w:pStyle w:val="2"/>
        <w:spacing w:line="240" w:lineRule="auto"/>
        <w:rPr>
          <w:rFonts w:hAnsi="宋体"/>
          <w:sz w:val="44"/>
        </w:rPr>
      </w:pPr>
      <w:r>
        <w:rPr>
          <w:rFonts w:hint="eastAsia" w:hAnsi="宋体"/>
          <w:sz w:val="44"/>
        </w:rPr>
        <w:t>阳光融和医院</w:t>
      </w:r>
      <w:r>
        <w:rPr>
          <w:rFonts w:hint="eastAsia" w:hAnsi="宋体"/>
          <w:sz w:val="44"/>
          <w:lang w:eastAsia="zh-CN"/>
        </w:rPr>
        <w:t>弱电井</w:t>
      </w:r>
      <w:r>
        <w:rPr>
          <w:rFonts w:hint="eastAsia" w:hAnsi="宋体"/>
          <w:sz w:val="44"/>
        </w:rPr>
        <w:t>标准化改造项目</w:t>
      </w:r>
    </w:p>
    <w:p w14:paraId="460E48DF">
      <w:pPr>
        <w:pStyle w:val="2"/>
        <w:rPr>
          <w:rFonts w:hint="eastAsia" w:hAnsi="宋体"/>
          <w:sz w:val="44"/>
        </w:rPr>
      </w:pPr>
      <w:bookmarkStart w:id="0" w:name="_Toc478808220"/>
      <w:bookmarkStart w:id="1" w:name="_Toc478808296"/>
      <w:bookmarkStart w:id="2" w:name="_Toc478808358"/>
      <w:bookmarkStart w:id="3" w:name="_Toc479323276"/>
      <w:r>
        <w:rPr>
          <w:rFonts w:hint="eastAsia" w:hAnsi="宋体"/>
          <w:sz w:val="44"/>
        </w:rPr>
        <w:t>招标要求</w:t>
      </w:r>
    </w:p>
    <w:p w14:paraId="69A06C42">
      <w:pPr>
        <w:pStyle w:val="3"/>
        <w:rPr>
          <w:bCs w:val="0"/>
        </w:rPr>
      </w:pPr>
      <w:r>
        <w:rPr>
          <w:rFonts w:hint="eastAsia"/>
          <w:bCs w:val="0"/>
        </w:rPr>
        <w:t>一、整体</w:t>
      </w:r>
      <w:bookmarkEnd w:id="0"/>
      <w:bookmarkEnd w:id="1"/>
      <w:bookmarkEnd w:id="2"/>
      <w:bookmarkEnd w:id="3"/>
      <w:r>
        <w:rPr>
          <w:rFonts w:hint="eastAsia"/>
          <w:bCs w:val="0"/>
        </w:rPr>
        <w:t>要求</w:t>
      </w:r>
    </w:p>
    <w:p w14:paraId="0A696E45">
      <w:pPr>
        <w:spacing w:line="360" w:lineRule="auto"/>
        <w:ind w:firstLine="560" w:firstLineChars="200"/>
        <w:jc w:val="left"/>
        <w:rPr>
          <w:rFonts w:hint="eastAsia" w:hAnsi="宋体"/>
        </w:rPr>
      </w:pPr>
      <w:r>
        <w:rPr>
          <w:rFonts w:hint="eastAsia" w:hAnsi="宋体"/>
        </w:rPr>
        <w:t xml:space="preserve"> 我院共有57个</w:t>
      </w: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，</w:t>
      </w: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内设置网络机柜、网络交换机、网络配线架、网络跳线等。</w:t>
      </w:r>
    </w:p>
    <w:p w14:paraId="5D3F93F0">
      <w:pPr>
        <w:spacing w:line="360" w:lineRule="auto"/>
        <w:ind w:firstLine="560" w:firstLineChars="200"/>
        <w:jc w:val="left"/>
        <w:rPr>
          <w:rFonts w:hint="eastAsia" w:hAnsi="宋体"/>
          <w:lang w:val="en-US" w:eastAsia="zh-CN"/>
        </w:rPr>
      </w:pP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存在供电不规范、线路不整齐等问题，不易维护且存在安全隐患。按智慧医院</w:t>
      </w:r>
      <w:r>
        <w:rPr>
          <w:rFonts w:hint="eastAsia" w:hAnsi="宋体"/>
          <w:lang w:val="en-US" w:eastAsia="zh-CN"/>
        </w:rPr>
        <w:t>及电子病历</w:t>
      </w:r>
      <w:r>
        <w:rPr>
          <w:rFonts w:hint="eastAsia" w:hAnsi="宋体"/>
        </w:rPr>
        <w:t>评审要求，需进行整改</w:t>
      </w:r>
      <w:r>
        <w:rPr>
          <w:rFonts w:hint="eastAsia" w:hAnsi="宋体"/>
          <w:lang w:eastAsia="zh-CN"/>
        </w:rPr>
        <w:t>。</w:t>
      </w:r>
      <w:r>
        <w:rPr>
          <w:rFonts w:hint="eastAsia" w:hAnsi="宋体"/>
          <w:lang w:val="en-US" w:eastAsia="zh-CN"/>
        </w:rPr>
        <w:t xml:space="preserve">   </w:t>
      </w:r>
    </w:p>
    <w:p w14:paraId="3CF6DB71">
      <w:pPr>
        <w:spacing w:line="360" w:lineRule="auto"/>
        <w:ind w:firstLine="560" w:firstLineChars="200"/>
        <w:jc w:val="left"/>
        <w:rPr>
          <w:rFonts w:hAnsi="宋体"/>
        </w:rPr>
      </w:pPr>
      <w:r>
        <w:rPr>
          <w:rFonts w:hint="eastAsia" w:hAnsi="宋体"/>
          <w:lang w:val="en-US" w:eastAsia="zh-CN"/>
        </w:rPr>
        <w:t xml:space="preserve"> </w:t>
      </w:r>
      <w:r>
        <w:rPr>
          <w:rFonts w:hint="eastAsia" w:hAnsi="宋体"/>
        </w:rPr>
        <w:t>前期两批累计整改25个</w:t>
      </w: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，整改前后效果对比明显。为保证弱电井的规范性，同时降低安全隐患。信息技术部计划对剩余</w:t>
      </w:r>
      <w:r>
        <w:rPr>
          <w:rFonts w:hint="eastAsia" w:hAnsi="宋体"/>
          <w:lang w:val="en-US" w:eastAsia="zh-CN"/>
        </w:rPr>
        <w:t>16</w:t>
      </w:r>
      <w:r>
        <w:rPr>
          <w:rFonts w:hint="eastAsia" w:hAnsi="宋体"/>
        </w:rPr>
        <w:t>个弱电井进行改造</w:t>
      </w:r>
      <w:r>
        <w:rPr>
          <w:rFonts w:hint="eastAsia" w:hAnsi="宋体"/>
          <w:lang w:eastAsia="zh-CN"/>
        </w:rPr>
        <w:t>。</w:t>
      </w:r>
      <w:r>
        <w:rPr>
          <w:rFonts w:hint="eastAsia" w:hAnsi="宋体"/>
        </w:rPr>
        <w:t>施工方需提供具备资质的工作人员，符合国家标准和本项目要求的配件、工具及材料。文明规范施工，保证医院业务不受影响。</w:t>
      </w:r>
    </w:p>
    <w:p w14:paraId="1C4C8C9F">
      <w:pPr>
        <w:pStyle w:val="3"/>
        <w:rPr>
          <w:bCs w:val="0"/>
        </w:rPr>
      </w:pPr>
      <w:r>
        <w:rPr>
          <w:rFonts w:hint="eastAsia"/>
          <w:bCs w:val="0"/>
        </w:rPr>
        <w:t>二、改造方案</w:t>
      </w:r>
    </w:p>
    <w:p w14:paraId="01A2EF58">
      <w:pPr>
        <w:spacing w:line="408" w:lineRule="auto"/>
        <w:rPr>
          <w:rFonts w:hAnsi="宋体"/>
        </w:rPr>
      </w:pPr>
      <w:r>
        <w:rPr>
          <w:rFonts w:hint="eastAsia" w:hAnsi="宋体"/>
        </w:rPr>
        <w:t>本批</w:t>
      </w:r>
      <w:r>
        <w:rPr>
          <w:rFonts w:hint="eastAsia" w:hAnsi="宋体"/>
          <w:lang w:val="en-US" w:eastAsia="zh-CN"/>
        </w:rPr>
        <w:t>16</w:t>
      </w:r>
      <w:r>
        <w:rPr>
          <w:rFonts w:hAnsi="宋体"/>
        </w:rPr>
        <w:t>个</w:t>
      </w: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计划进行如下</w:t>
      </w:r>
      <w:r>
        <w:rPr>
          <w:rFonts w:hAnsi="宋体"/>
        </w:rPr>
        <w:t>改造：</w:t>
      </w:r>
    </w:p>
    <w:p w14:paraId="1927C79F">
      <w:pPr>
        <w:spacing w:line="360" w:lineRule="auto"/>
        <w:rPr>
          <w:rFonts w:hAnsi="宋体"/>
        </w:rPr>
      </w:pPr>
      <w:r>
        <w:rPr>
          <w:rFonts w:hint="eastAsia" w:hAnsi="宋体"/>
        </w:rPr>
        <w:t>1、跳线统一：线缆统一标准和颜色。</w:t>
      </w:r>
    </w:p>
    <w:p w14:paraId="6FA181D4">
      <w:pPr>
        <w:spacing w:line="360" w:lineRule="auto"/>
        <w:rPr>
          <w:rFonts w:hAnsi="宋体"/>
        </w:rPr>
      </w:pPr>
      <w:r>
        <w:rPr>
          <w:rFonts w:hint="eastAsia" w:hAnsi="宋体"/>
        </w:rPr>
        <w:t>2、供电统一：用</w:t>
      </w:r>
      <w:r>
        <w:rPr>
          <w:rFonts w:hAnsi="宋体"/>
        </w:rPr>
        <w:t>PDU</w:t>
      </w:r>
      <w:r>
        <w:rPr>
          <w:rFonts w:hint="eastAsia" w:hAnsi="宋体"/>
        </w:rPr>
        <w:t>替换插排，规范供电。</w:t>
      </w:r>
    </w:p>
    <w:p w14:paraId="42BD7899">
      <w:pPr>
        <w:spacing w:line="360" w:lineRule="auto"/>
        <w:rPr>
          <w:rFonts w:hAnsi="宋体"/>
        </w:rPr>
      </w:pPr>
      <w:r>
        <w:rPr>
          <w:rFonts w:hint="eastAsia" w:hAnsi="宋体"/>
        </w:rPr>
        <w:t>3、POE交换机：每个</w:t>
      </w: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增加1台POE供电</w:t>
      </w:r>
      <w:r>
        <w:rPr>
          <w:rFonts w:hAnsi="宋体"/>
        </w:rPr>
        <w:t>交换机，</w:t>
      </w:r>
      <w:r>
        <w:rPr>
          <w:rFonts w:hint="eastAsia" w:hAnsi="宋体"/>
        </w:rPr>
        <w:t>解决</w:t>
      </w:r>
      <w:r>
        <w:rPr>
          <w:rFonts w:hAnsi="宋体"/>
        </w:rPr>
        <w:t>无线设备线路凌乱和强弱电交叉</w:t>
      </w:r>
      <w:r>
        <w:rPr>
          <w:rFonts w:hint="eastAsia" w:hAnsi="宋体"/>
        </w:rPr>
        <w:t>问题</w:t>
      </w:r>
      <w:r>
        <w:rPr>
          <w:rFonts w:hAnsi="宋体"/>
        </w:rPr>
        <w:t>。</w:t>
      </w:r>
    </w:p>
    <w:p w14:paraId="4F1D6ABC">
      <w:pPr>
        <w:spacing w:line="360" w:lineRule="auto"/>
        <w:rPr>
          <w:rFonts w:hAnsi="宋体"/>
        </w:rPr>
      </w:pPr>
      <w:r>
        <w:rPr>
          <w:rFonts w:hint="eastAsia" w:hAnsi="宋体"/>
        </w:rPr>
        <w:t>4、线路规范：线缆替换、整理、打标、捆扎等。</w:t>
      </w:r>
    </w:p>
    <w:p w14:paraId="232ECC3A">
      <w:pPr>
        <w:spacing w:line="360" w:lineRule="auto"/>
        <w:rPr>
          <w:rFonts w:hAnsi="宋体"/>
        </w:rPr>
      </w:pPr>
      <w:r>
        <w:rPr>
          <w:rFonts w:hAnsi="宋体"/>
        </w:rPr>
        <w:t>5、</w:t>
      </w:r>
      <w:r>
        <w:rPr>
          <w:rFonts w:hint="eastAsia" w:hAnsi="宋体"/>
        </w:rPr>
        <w:t>电子病历/互联互通评级提出的其它</w:t>
      </w:r>
      <w:r>
        <w:rPr>
          <w:rFonts w:hint="eastAsia" w:hAnsi="宋体"/>
          <w:lang w:eastAsia="zh-CN"/>
        </w:rPr>
        <w:t>弱电井</w:t>
      </w:r>
      <w:r>
        <w:rPr>
          <w:rFonts w:hint="eastAsia" w:hAnsi="宋体"/>
        </w:rPr>
        <w:t>需求。</w:t>
      </w:r>
    </w:p>
    <w:p w14:paraId="59D86421">
      <w:pPr>
        <w:spacing w:line="408" w:lineRule="auto"/>
        <w:ind w:firstLine="560" w:firstLineChars="200"/>
        <w:rPr>
          <w:rFonts w:hAnsi="宋体"/>
        </w:rPr>
      </w:pPr>
      <w:r>
        <w:rPr>
          <w:rFonts w:hint="eastAsia" w:hAnsi="宋体"/>
        </w:rPr>
        <w:t>配件要求：</w:t>
      </w:r>
    </w:p>
    <w:tbl>
      <w:tblPr>
        <w:tblStyle w:val="6"/>
        <w:tblpPr w:leftFromText="180" w:rightFromText="180" w:vertAnchor="text" w:horzAnchor="margin" w:tblpXSpec="center" w:tblpY="188"/>
        <w:tblW w:w="7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33"/>
        <w:gridCol w:w="1063"/>
        <w:gridCol w:w="673"/>
        <w:gridCol w:w="3598"/>
      </w:tblGrid>
      <w:tr w14:paraId="4C32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shd w:val="clear" w:color="000000" w:fill="auto"/>
            <w:noWrap/>
            <w:vAlign w:val="center"/>
          </w:tcPr>
          <w:p w14:paraId="5974208B">
            <w:pPr>
              <w:widowControl/>
              <w:rPr>
                <w:rFonts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 w:val="0"/>
                <w:color w:val="000000"/>
                <w:kern w:val="0"/>
                <w:sz w:val="24"/>
              </w:rPr>
              <w:t>配件名称</w:t>
            </w:r>
          </w:p>
        </w:tc>
        <w:tc>
          <w:tcPr>
            <w:tcW w:w="1333" w:type="dxa"/>
            <w:shd w:val="clear" w:color="000000" w:fill="auto"/>
            <w:noWrap/>
            <w:vAlign w:val="center"/>
          </w:tcPr>
          <w:p w14:paraId="4B1EFA65"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</w:rPr>
              <w:t>品牌范围</w:t>
            </w:r>
          </w:p>
        </w:tc>
        <w:tc>
          <w:tcPr>
            <w:tcW w:w="1063" w:type="dxa"/>
            <w:shd w:val="clear" w:color="000000" w:fill="auto"/>
            <w:noWrap/>
            <w:vAlign w:val="center"/>
          </w:tcPr>
          <w:p w14:paraId="59198D96"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73" w:type="dxa"/>
            <w:shd w:val="clear" w:color="000000" w:fill="auto"/>
            <w:noWrap/>
            <w:vAlign w:val="center"/>
          </w:tcPr>
          <w:p w14:paraId="4FFDC99C">
            <w:pPr>
              <w:widowControl/>
              <w:jc w:val="center"/>
              <w:rPr>
                <w:rFonts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98" w:type="dxa"/>
            <w:shd w:val="clear" w:color="000000" w:fill="auto"/>
            <w:noWrap/>
            <w:vAlign w:val="center"/>
          </w:tcPr>
          <w:p w14:paraId="68AD1341">
            <w:pPr>
              <w:widowControl/>
              <w:jc w:val="center"/>
              <w:rPr>
                <w:rFonts w:hAnsi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F5B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shd w:val="clear" w:color="auto" w:fill="auto"/>
            <w:noWrap/>
            <w:vAlign w:val="center"/>
          </w:tcPr>
          <w:p w14:paraId="2FA81E54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六类跳线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738AB67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普天</w:t>
            </w:r>
          </w:p>
          <w:p w14:paraId="5644D82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山泽</w:t>
            </w:r>
          </w:p>
          <w:p w14:paraId="1F19A1C7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绿联</w:t>
            </w:r>
          </w:p>
          <w:p w14:paraId="0DF79624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秋叶原</w:t>
            </w:r>
          </w:p>
          <w:p w14:paraId="67403A47">
            <w:pPr>
              <w:widowControl/>
              <w:ind w:firstLine="240" w:firstLineChars="10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博扬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06CE216">
            <w:pPr>
              <w:widowControl/>
              <w:jc w:val="center"/>
              <w:rPr>
                <w:rFonts w:hint="default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2400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14:paraId="1C8D1E95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3598" w:type="dxa"/>
            <w:shd w:val="clear" w:color="auto" w:fill="auto"/>
            <w:noWrap/>
            <w:vAlign w:val="center"/>
          </w:tcPr>
          <w:p w14:paraId="6BCF3953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根据现场情况使用</w:t>
            </w:r>
          </w:p>
        </w:tc>
      </w:tr>
      <w:tr w14:paraId="58ED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3" w:type="dxa"/>
            <w:shd w:val="clear" w:color="auto" w:fill="auto"/>
            <w:noWrap/>
            <w:vAlign w:val="center"/>
          </w:tcPr>
          <w:p w14:paraId="1BD4B23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电话鸭嘴跳线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1E824E6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博扬</w:t>
            </w:r>
          </w:p>
          <w:p w14:paraId="291690A8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安必通</w:t>
            </w:r>
          </w:p>
          <w:p w14:paraId="3D6C42A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亿舟</w:t>
            </w:r>
          </w:p>
          <w:p w14:paraId="43B651C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星遥博</w:t>
            </w:r>
          </w:p>
          <w:p w14:paraId="32AA0928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丰应子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9F809F6">
            <w:pPr>
              <w:widowControl/>
              <w:jc w:val="center"/>
              <w:rPr>
                <w:rFonts w:hint="default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14:paraId="41489BE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3598" w:type="dxa"/>
            <w:shd w:val="clear" w:color="auto" w:fill="auto"/>
            <w:noWrap/>
            <w:vAlign w:val="center"/>
          </w:tcPr>
          <w:p w14:paraId="628F1D9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根据</w:t>
            </w:r>
            <w:bookmarkStart w:id="4" w:name="_GoBack"/>
            <w:bookmarkEnd w:id="4"/>
            <w:r>
              <w:rPr>
                <w:rFonts w:hint="eastAsia" w:hAnsi="宋体" w:cs="宋体"/>
                <w:color w:val="000000"/>
                <w:kern w:val="0"/>
                <w:sz w:val="24"/>
              </w:rPr>
              <w:t>现场情况使用</w:t>
            </w:r>
          </w:p>
        </w:tc>
      </w:tr>
      <w:tr w14:paraId="0BC5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3" w:type="dxa"/>
            <w:shd w:val="clear" w:color="auto" w:fill="auto"/>
            <w:noWrap/>
            <w:vAlign w:val="center"/>
          </w:tcPr>
          <w:p w14:paraId="3AB346DF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PDU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71A493A7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公牛</w:t>
            </w:r>
          </w:p>
          <w:p w14:paraId="418CC6B6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绿联</w:t>
            </w:r>
          </w:p>
          <w:p w14:paraId="4A557128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飞利浦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德力西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2BC9D41">
            <w:pPr>
              <w:widowControl/>
              <w:jc w:val="center"/>
              <w:rPr>
                <w:rFonts w:hint="default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14:paraId="054DE82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3598" w:type="dxa"/>
            <w:shd w:val="clear" w:color="auto" w:fill="auto"/>
            <w:noWrap/>
            <w:vAlign w:val="center"/>
          </w:tcPr>
          <w:p w14:paraId="0053A2D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A*8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Ansi="宋体" w:cs="宋体"/>
                <w:color w:val="000000"/>
                <w:kern w:val="0"/>
                <w:sz w:val="24"/>
              </w:rPr>
              <w:t>.8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米　</w:t>
            </w:r>
          </w:p>
        </w:tc>
      </w:tr>
      <w:tr w14:paraId="7E22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03" w:type="dxa"/>
            <w:shd w:val="clear" w:color="auto" w:fill="auto"/>
            <w:noWrap/>
            <w:vAlign w:val="center"/>
          </w:tcPr>
          <w:p w14:paraId="7AC59CD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24口POE</w:t>
            </w:r>
            <w:r>
              <w:rPr>
                <w:rFonts w:hAnsi="宋体" w:cs="宋体"/>
                <w:color w:val="000000"/>
                <w:kern w:val="0"/>
                <w:sz w:val="24"/>
              </w:rPr>
              <w:t>交换机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14:paraId="02CDED5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华为</w:t>
            </w:r>
          </w:p>
          <w:p w14:paraId="290FC14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华三</w:t>
            </w:r>
          </w:p>
          <w:p w14:paraId="3CD682D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锐捷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9A34758">
            <w:pPr>
              <w:widowControl/>
              <w:jc w:val="center"/>
              <w:rPr>
                <w:rFonts w:hint="default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14:paraId="4E7305F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598" w:type="dxa"/>
            <w:shd w:val="clear" w:color="auto" w:fill="auto"/>
            <w:noWrap/>
            <w:vAlign w:val="center"/>
          </w:tcPr>
          <w:p w14:paraId="022D906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/>
                <w:color w:val="000000"/>
                <w:kern w:val="0"/>
                <w:sz w:val="24"/>
              </w:rPr>
              <w:t>S5735-L24P4X-A1同等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配置，</w:t>
            </w:r>
            <w:r>
              <w:rPr>
                <w:rFonts w:hAnsi="宋体" w:cs="宋体"/>
                <w:color w:val="000000"/>
                <w:kern w:val="0"/>
                <w:sz w:val="24"/>
              </w:rPr>
              <w:t>需提供五年质保</w:t>
            </w:r>
          </w:p>
        </w:tc>
      </w:tr>
    </w:tbl>
    <w:p w14:paraId="4BD316E4">
      <w:pPr>
        <w:spacing w:line="408" w:lineRule="auto"/>
        <w:ind w:firstLine="560" w:firstLineChars="200"/>
        <w:rPr>
          <w:rFonts w:hint="eastAsia" w:hAnsi="宋体"/>
        </w:rPr>
      </w:pPr>
      <w:r>
        <w:rPr>
          <w:rFonts w:hint="eastAsia" w:hAnsi="宋体"/>
        </w:rPr>
        <w:t>所有配件及耗材以实际使用为准</w:t>
      </w:r>
      <w:r>
        <w:rPr>
          <w:rFonts w:hint="eastAsia" w:hAnsi="宋体"/>
          <w:lang w:val="en-US" w:eastAsia="zh-CN"/>
        </w:rPr>
        <w:t>(包含未列出的理线架等)</w:t>
      </w:r>
      <w:r>
        <w:rPr>
          <w:rFonts w:hint="eastAsia" w:hAnsi="宋体"/>
        </w:rPr>
        <w:t>。</w:t>
      </w:r>
    </w:p>
    <w:p w14:paraId="31000C8F">
      <w:pPr>
        <w:pStyle w:val="3"/>
      </w:pPr>
      <w:r>
        <w:rPr>
          <w:rFonts w:hint="eastAsia"/>
        </w:rPr>
        <w:t>三、工期</w:t>
      </w:r>
    </w:p>
    <w:p w14:paraId="1E9FB812">
      <w:pPr>
        <w:ind w:firstLine="560" w:firstLineChars="200"/>
      </w:pPr>
      <w:r>
        <w:rPr>
          <w:rFonts w:hint="eastAsia" w:hAnsi="宋体"/>
        </w:rPr>
        <w:t>合同</w:t>
      </w:r>
      <w:r>
        <w:rPr>
          <w:rFonts w:hAnsi="宋体"/>
        </w:rPr>
        <w:t>签订后</w:t>
      </w:r>
      <w:r>
        <w:rPr>
          <w:rFonts w:hint="eastAsia" w:hAnsi="宋体"/>
        </w:rPr>
        <w:t>3</w:t>
      </w:r>
      <w:r>
        <w:rPr>
          <w:rFonts w:hAnsi="宋体"/>
        </w:rPr>
        <w:t>0</w:t>
      </w:r>
      <w:r>
        <w:rPr>
          <w:rFonts w:hint="eastAsia" w:hAnsi="宋体"/>
        </w:rPr>
        <w:t>个</w:t>
      </w:r>
      <w:r>
        <w:rPr>
          <w:rFonts w:hAnsi="宋体"/>
        </w:rPr>
        <w:t>工作日内完成</w:t>
      </w:r>
      <w:r>
        <w:rPr>
          <w:rFonts w:hint="eastAsia" w:hAnsi="宋体"/>
        </w:rPr>
        <w:t>施工。</w:t>
      </w:r>
    </w:p>
    <w:p w14:paraId="6413482E">
      <w:pPr>
        <w:pStyle w:val="3"/>
        <w:numPr>
          <w:ilvl w:val="0"/>
          <w:numId w:val="1"/>
        </w:numPr>
        <w:rPr>
          <w:bCs w:val="0"/>
        </w:rPr>
      </w:pPr>
      <w:r>
        <w:rPr>
          <w:rFonts w:hint="eastAsia"/>
          <w:bCs w:val="0"/>
        </w:rPr>
        <w:t>售后服务</w:t>
      </w:r>
    </w:p>
    <w:p w14:paraId="3969AE42">
      <w:pPr>
        <w:ind w:firstLine="560"/>
      </w:pPr>
      <w:r>
        <w:rPr>
          <w:rFonts w:hint="eastAsia" w:hAnsi="宋体"/>
        </w:rPr>
        <w:t>免费服务期1年。</w:t>
      </w:r>
    </w:p>
    <w:p w14:paraId="6A275C3C">
      <w:pPr>
        <w:pStyle w:val="3"/>
        <w:numPr>
          <w:ilvl w:val="0"/>
          <w:numId w:val="1"/>
        </w:numPr>
        <w:rPr>
          <w:rFonts w:hAnsi="宋体"/>
        </w:rPr>
      </w:pPr>
      <w:r>
        <w:rPr>
          <w:rFonts w:hint="eastAsia"/>
          <w:bCs w:val="0"/>
        </w:rPr>
        <w:t>付款方式</w:t>
      </w:r>
    </w:p>
    <w:p w14:paraId="1F6A1C96">
      <w:pPr>
        <w:ind w:firstLine="560"/>
        <w:rPr>
          <w:rFonts w:hAnsi="宋体"/>
        </w:rPr>
      </w:pPr>
      <w:r>
        <w:rPr>
          <w:rFonts w:hint="eastAsia" w:hAnsi="宋体"/>
        </w:rPr>
        <w:t>合同签订后付3</w:t>
      </w:r>
      <w:r>
        <w:rPr>
          <w:rFonts w:hAnsi="宋体"/>
        </w:rPr>
        <w:t>0%</w:t>
      </w:r>
      <w:r>
        <w:rPr>
          <w:rFonts w:hint="eastAsia" w:hAnsi="宋体"/>
        </w:rPr>
        <w:t>，施工完成且</w:t>
      </w:r>
      <w:r>
        <w:rPr>
          <w:rFonts w:hAnsi="宋体"/>
        </w:rPr>
        <w:t>验收</w:t>
      </w:r>
      <w:r>
        <w:rPr>
          <w:rFonts w:hint="eastAsia" w:hAnsi="宋体"/>
        </w:rPr>
        <w:t>通过后</w:t>
      </w:r>
      <w:r>
        <w:rPr>
          <w:rFonts w:hAnsi="宋体"/>
        </w:rPr>
        <w:t>付60%，</w:t>
      </w:r>
      <w:r>
        <w:rPr>
          <w:rFonts w:hint="eastAsia" w:hAnsi="宋体"/>
        </w:rPr>
        <w:t>验收通过1</w:t>
      </w:r>
      <w:r>
        <w:rPr>
          <w:rFonts w:hAnsi="宋体"/>
        </w:rPr>
        <w:t>年后付</w:t>
      </w:r>
      <w:r>
        <w:rPr>
          <w:rFonts w:hint="eastAsia" w:hAnsi="宋体"/>
        </w:rPr>
        <w:t>10</w:t>
      </w:r>
      <w:r>
        <w:rPr>
          <w:rFonts w:hAnsi="宋体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381A9"/>
    <w:multiLevelType w:val="singleLevel"/>
    <w:tmpl w:val="F6F381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MWVkZjVjZjY2MWRjZDA4ZjQxNWE2NGZhZjkzMjIifQ=="/>
    <w:docVar w:name="KSO_WPS_MARK_KEY" w:val="45ba221d-369b-4166-ae48-a26754812eba"/>
  </w:docVars>
  <w:rsids>
    <w:rsidRoot w:val="00274ABE"/>
    <w:rsid w:val="00024185"/>
    <w:rsid w:val="000F7DFE"/>
    <w:rsid w:val="00274ABE"/>
    <w:rsid w:val="00282936"/>
    <w:rsid w:val="002F21C2"/>
    <w:rsid w:val="0030121D"/>
    <w:rsid w:val="00485E63"/>
    <w:rsid w:val="00631C14"/>
    <w:rsid w:val="00734BE8"/>
    <w:rsid w:val="007A384A"/>
    <w:rsid w:val="007E5ABA"/>
    <w:rsid w:val="00825625"/>
    <w:rsid w:val="008A2BDA"/>
    <w:rsid w:val="008E6AEC"/>
    <w:rsid w:val="00963C76"/>
    <w:rsid w:val="00973770"/>
    <w:rsid w:val="00A62662"/>
    <w:rsid w:val="00A670B8"/>
    <w:rsid w:val="00A67384"/>
    <w:rsid w:val="00B376FD"/>
    <w:rsid w:val="00B43712"/>
    <w:rsid w:val="00BB2BB6"/>
    <w:rsid w:val="00BD31EF"/>
    <w:rsid w:val="00C3080E"/>
    <w:rsid w:val="00C37272"/>
    <w:rsid w:val="00C53B48"/>
    <w:rsid w:val="00CC05BA"/>
    <w:rsid w:val="00CF7816"/>
    <w:rsid w:val="00D07E10"/>
    <w:rsid w:val="00E452CA"/>
    <w:rsid w:val="00E94A3C"/>
    <w:rsid w:val="00EC64F9"/>
    <w:rsid w:val="00F662FE"/>
    <w:rsid w:val="00FA20A7"/>
    <w:rsid w:val="00FF06B1"/>
    <w:rsid w:val="158C5682"/>
    <w:rsid w:val="23A64F97"/>
    <w:rsid w:val="267C13D7"/>
    <w:rsid w:val="34261FB2"/>
    <w:rsid w:val="35085C0D"/>
    <w:rsid w:val="36533155"/>
    <w:rsid w:val="3E547BBB"/>
    <w:rsid w:val="401D15BF"/>
    <w:rsid w:val="4272278C"/>
    <w:rsid w:val="58190B02"/>
    <w:rsid w:val="62970EFE"/>
    <w:rsid w:val="6E9A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宋体" w:hAnsi="Times New Roman" w:eastAsia="宋体" w:cs="Times New Roman"/>
      <w:b/>
      <w:bCs/>
      <w:kern w:val="44"/>
      <w:sz w:val="36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595</Words>
  <Characters>644</Characters>
  <Lines>4</Lines>
  <Paragraphs>1</Paragraphs>
  <TotalTime>317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2024-05-17T03:03:00Z</dcterms:created>
  <dc:creator>冯宇良</dc:creator>
  <cp:lastModifiedBy>祎然</cp:lastModifiedBy>
  <dcterms:modified xsi:type="dcterms:W3CDTF">2025-04-10T23:59:22Z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0B4B1D1F7D554437AB171A4F2B4C1340_13</vt:lpwstr>
  </property>
  <property fmtid="{D5CDD505-2E9C-101B-9397-08002B2CF9AE}" pid="4" name="KSOTemplateDocerSaveRecord">
    <vt:lpwstr>eyJoZGlkIjoiOTA4MWVkZjVjZjY2MWRjZDA4ZjQxNWE2NGZhZjkzMjIiLCJ1c2VySWQiOiIzMTg3Nzk1MDIifQ==</vt:lpwstr>
  </property>
</Properties>
</file>